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064B2E" w14:textId="1CF6EEB3" w:rsidR="002366E3" w:rsidRDefault="00E0150B">
      <w:pPr>
        <w:jc w:val="center"/>
        <w:rPr>
          <w:lang w:eastAsia="en-GB"/>
        </w:rPr>
      </w:pPr>
      <w:r>
        <w:rPr>
          <w:noProof/>
        </w:rPr>
        <w:drawing>
          <wp:anchor distT="0" distB="0" distL="0" distR="0" simplePos="0" relativeHeight="251657728" behindDoc="0" locked="0" layoutInCell="1" allowOverlap="1" wp14:anchorId="4D19820E" wp14:editId="372EE43E">
            <wp:simplePos x="0" y="0"/>
            <wp:positionH relativeFrom="page">
              <wp:posOffset>1410970</wp:posOffset>
            </wp:positionH>
            <wp:positionV relativeFrom="page">
              <wp:posOffset>219075</wp:posOffset>
            </wp:positionV>
            <wp:extent cx="4733925" cy="1184275"/>
            <wp:effectExtent l="0" t="0" r="0" b="0"/>
            <wp:wrapSquare wrapText="larges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3925" cy="1184275"/>
                    </a:xfrm>
                    <a:prstGeom prst="rect">
                      <a:avLst/>
                    </a:prstGeom>
                    <a:noFill/>
                  </pic:spPr>
                </pic:pic>
              </a:graphicData>
            </a:graphic>
            <wp14:sizeRelH relativeFrom="page">
              <wp14:pctWidth>0</wp14:pctWidth>
            </wp14:sizeRelH>
            <wp14:sizeRelV relativeFrom="page">
              <wp14:pctHeight>0</wp14:pctHeight>
            </wp14:sizeRelV>
          </wp:anchor>
        </w:drawing>
      </w:r>
    </w:p>
    <w:p w14:paraId="7F7EE14C" w14:textId="77777777" w:rsidR="002366E3" w:rsidRDefault="002366E3" w:rsidP="00F12E63"/>
    <w:p w14:paraId="41962CA7" w14:textId="77777777" w:rsidR="00F12E63" w:rsidRDefault="00F12E63" w:rsidP="00F12E63">
      <w:pPr>
        <w:rPr>
          <w:b/>
          <w:sz w:val="32"/>
          <w:szCs w:val="32"/>
          <w:u w:val="single"/>
        </w:rPr>
      </w:pPr>
    </w:p>
    <w:p w14:paraId="393BC8E0" w14:textId="77777777" w:rsidR="002366E3" w:rsidRPr="00F12E63" w:rsidRDefault="002366E3" w:rsidP="00F12E63">
      <w:pPr>
        <w:jc w:val="center"/>
      </w:pPr>
      <w:r>
        <w:rPr>
          <w:b/>
          <w:bCs/>
          <w:sz w:val="32"/>
          <w:szCs w:val="32"/>
        </w:rPr>
        <w:t>Business Framework Suitability Letter Template</w:t>
      </w:r>
    </w:p>
    <w:p w14:paraId="45961AC8" w14:textId="77777777" w:rsidR="002366E3" w:rsidRPr="00F12E63" w:rsidRDefault="002366E3">
      <w:pPr>
        <w:rPr>
          <w:sz w:val="18"/>
        </w:rPr>
      </w:pPr>
    </w:p>
    <w:p w14:paraId="2A8E4998" w14:textId="77777777" w:rsidR="002366E3" w:rsidRDefault="002366E3">
      <w:r>
        <w:t>Dear</w:t>
      </w:r>
    </w:p>
    <w:p w14:paraId="2FAA0504" w14:textId="77777777" w:rsidR="002366E3" w:rsidRPr="00F12E63" w:rsidRDefault="002366E3">
      <w:pPr>
        <w:rPr>
          <w:sz w:val="16"/>
        </w:rPr>
      </w:pPr>
    </w:p>
    <w:p w14:paraId="288F3828" w14:textId="77777777" w:rsidR="002366E3" w:rsidRDefault="002366E3">
      <w:r>
        <w:t xml:space="preserve">When we met on </w:t>
      </w:r>
      <w:proofErr w:type="spellStart"/>
      <w:r>
        <w:t>xxxxx</w:t>
      </w:r>
      <w:proofErr w:type="spellEnd"/>
      <w:r>
        <w:t xml:space="preserve"> we discussed many areas of financial planning which included your business planning arrangements. We talked about what would happen in the event of your death and whether the business should be sold, with particular reference to protecting the proceeds for your chosen beneficiaries and putting additional tax planning opportunities in place for the family, to assist in mitigating potential inheritance tax impacts on your estate. The arrangement is a key extension to the Solidus Plan/Beneficiary Protection Plan (delete as appropriate) that will be put in place.</w:t>
      </w:r>
    </w:p>
    <w:p w14:paraId="196A17DF" w14:textId="77777777" w:rsidR="002366E3" w:rsidRPr="00F12E63" w:rsidRDefault="002366E3">
      <w:pPr>
        <w:rPr>
          <w:sz w:val="16"/>
        </w:rPr>
      </w:pPr>
    </w:p>
    <w:p w14:paraId="1622887A" w14:textId="77777777" w:rsidR="002366E3" w:rsidRDefault="002366E3">
      <w:r>
        <w:t>(Delete as appropriate)</w:t>
      </w:r>
    </w:p>
    <w:p w14:paraId="45DA6837" w14:textId="77777777" w:rsidR="002366E3" w:rsidRPr="00F12E63" w:rsidRDefault="002366E3">
      <w:pPr>
        <w:rPr>
          <w:sz w:val="18"/>
        </w:rPr>
      </w:pPr>
    </w:p>
    <w:p w14:paraId="66DCF326" w14:textId="77777777" w:rsidR="002366E3" w:rsidRDefault="002366E3">
      <w:r>
        <w:rPr>
          <w:b/>
          <w:bCs/>
        </w:rPr>
        <w:t>Either 1 Cross Option Agreement</w:t>
      </w:r>
      <w:r>
        <w:t xml:space="preserve"> </w:t>
      </w:r>
    </w:p>
    <w:p w14:paraId="4568EB98" w14:textId="77777777" w:rsidR="002366E3" w:rsidRDefault="002366E3">
      <w:r>
        <w:t>Your current arrangement provides funds to your fellow director(s) by means of an Assurance policy which pays into a Solidus Assurance Trust. The directors have an option to purchase your shares. One of the drawbacks of this approach is that following the purchase of the shares the purchase value will be in the estate of the surviving spouse and the assets are no longer exempt for Inheritance Tax purposes. The potential tax impact could be 40% of the value of the sale.</w:t>
      </w:r>
    </w:p>
    <w:p w14:paraId="65230A8C" w14:textId="77777777" w:rsidR="002366E3" w:rsidRPr="00F12E63" w:rsidRDefault="002366E3">
      <w:pPr>
        <w:rPr>
          <w:sz w:val="18"/>
        </w:rPr>
      </w:pPr>
    </w:p>
    <w:p w14:paraId="0C587F05" w14:textId="77777777" w:rsidR="002366E3" w:rsidRDefault="002366E3">
      <w:r>
        <w:t>There may also be longer term bloodline protection issues.</w:t>
      </w:r>
    </w:p>
    <w:p w14:paraId="3A0D9458" w14:textId="77777777" w:rsidR="002366E3" w:rsidRPr="00F12E63" w:rsidRDefault="002366E3">
      <w:pPr>
        <w:rPr>
          <w:sz w:val="18"/>
        </w:rPr>
      </w:pPr>
    </w:p>
    <w:p w14:paraId="3600D048" w14:textId="77777777" w:rsidR="002366E3" w:rsidRDefault="002366E3">
      <w:r>
        <w:rPr>
          <w:b/>
          <w:bCs/>
        </w:rPr>
        <w:t>Suggested Planning</w:t>
      </w:r>
    </w:p>
    <w:p w14:paraId="58432B9A" w14:textId="77777777" w:rsidR="002366E3" w:rsidRDefault="002366E3">
      <w:r>
        <w:t>In the event of your death it will be beneficial to consider leaving your qualifying business assets into a purpose designed Solidus Business Trust, which will hold the shares until the cross option is exercised. Following the purchase, the proceeds will be held on trust for your beneficiaries and will not be in the estate for Inheritance Tax purposes. The value of this planning could be worth £40,000 for every £100,000 of qualifying business assets.</w:t>
      </w:r>
    </w:p>
    <w:p w14:paraId="23EC9DCC" w14:textId="77777777" w:rsidR="002366E3" w:rsidRPr="00F12E63" w:rsidRDefault="002366E3">
      <w:pPr>
        <w:rPr>
          <w:sz w:val="18"/>
        </w:rPr>
      </w:pPr>
    </w:p>
    <w:p w14:paraId="476E4F56" w14:textId="77777777" w:rsidR="002366E3" w:rsidRDefault="002366E3">
      <w:r>
        <w:rPr>
          <w:b/>
          <w:bCs/>
        </w:rPr>
        <w:t>OR 2 Business Planning for Families</w:t>
      </w:r>
      <w:r>
        <w:t xml:space="preserve"> </w:t>
      </w:r>
    </w:p>
    <w:p w14:paraId="6DE660DE" w14:textId="77777777" w:rsidR="002366E3" w:rsidRDefault="002366E3">
      <w:r>
        <w:t xml:space="preserve">Your current arrangement leaves your business shares to your spouse/son/daughter. One of the drawbacks of this approach is that the assets are not protected, which may cause a significant Inheritance Tax liability on the death of the surviving partner, and significant additional tax planning opportunities may be missed. </w:t>
      </w:r>
    </w:p>
    <w:p w14:paraId="3A1F218E" w14:textId="77777777" w:rsidR="002366E3" w:rsidRPr="00F12E63" w:rsidRDefault="002366E3">
      <w:pPr>
        <w:rPr>
          <w:sz w:val="18"/>
        </w:rPr>
      </w:pPr>
    </w:p>
    <w:p w14:paraId="575716A2" w14:textId="77777777" w:rsidR="002366E3" w:rsidRDefault="002366E3">
      <w:r>
        <w:rPr>
          <w:b/>
          <w:bCs/>
        </w:rPr>
        <w:t>Suggested Planning</w:t>
      </w:r>
    </w:p>
    <w:p w14:paraId="430C1AB8" w14:textId="77777777" w:rsidR="00B54BEB" w:rsidRDefault="002366E3">
      <w:r>
        <w:t>In the event of your death it will be beneficial to consider leaving your qualifying business assets into a purpose designed Solidus Business Trust, which will hold the shares. Advice can then be taken at the time of your death by your Trustees to realise the planning opportunities that are available. As well as offering protection of the shares, the value of this planning could provide additional tax benefits of up to £40,000 for every £100,000 of qualifying</w:t>
      </w:r>
      <w:r w:rsidR="00F12E63">
        <w:t xml:space="preserve"> business assets.</w:t>
      </w:r>
    </w:p>
    <w:p w14:paraId="4269E4D4" w14:textId="77777777" w:rsidR="00F12E63" w:rsidRPr="00F12E63" w:rsidRDefault="00F12E63">
      <w:pPr>
        <w:rPr>
          <w:sz w:val="18"/>
        </w:rPr>
      </w:pPr>
    </w:p>
    <w:p w14:paraId="737C66A3" w14:textId="77777777" w:rsidR="00F12E63" w:rsidRDefault="00B54BEB">
      <w:r>
        <w:t>Failure to direct qualifying business assets into Trust when you die could have 2 other adverse impacts for your family. Probate fees are likely to be higher under proposed legislation changes and your ability to claim the added tax allowance for the Residential Nil Rate Band could be eroded or lost completely.</w:t>
      </w:r>
    </w:p>
    <w:p w14:paraId="067A8250" w14:textId="77777777" w:rsidR="002366E3" w:rsidRDefault="002366E3">
      <w:r>
        <w:rPr>
          <w:b/>
          <w:bCs/>
        </w:rPr>
        <w:lastRenderedPageBreak/>
        <w:t>Recommended Solution</w:t>
      </w:r>
    </w:p>
    <w:p w14:paraId="24E5FDB9" w14:textId="77777777" w:rsidR="002366E3" w:rsidRDefault="002366E3">
      <w:pPr>
        <w:ind w:right="-58"/>
      </w:pPr>
      <w:r>
        <w:t xml:space="preserve">The Solidus Business Trust is a specially constituted trust that is established during your life time, alongside a Beneficiary Protection Plan/Solidus Trusts Plan. </w:t>
      </w:r>
    </w:p>
    <w:p w14:paraId="264360B3" w14:textId="77777777" w:rsidR="002366E3" w:rsidRPr="00F12E63" w:rsidRDefault="002366E3">
      <w:pPr>
        <w:ind w:right="-58"/>
        <w:rPr>
          <w:sz w:val="20"/>
        </w:rPr>
      </w:pPr>
    </w:p>
    <w:p w14:paraId="01E1793D" w14:textId="77777777" w:rsidR="002366E3" w:rsidRDefault="002366E3">
      <w:pPr>
        <w:ind w:right="-58"/>
      </w:pPr>
      <w:r>
        <w:t xml:space="preserve">The solution does not require the transfer of shares during your lifetime, but for larger </w:t>
      </w:r>
      <w:r w:rsidR="00F12E63">
        <w:t>shareholdings,</w:t>
      </w:r>
      <w:r>
        <w:t xml:space="preserve"> using the trust to receive a proportion of shares prior to sale can be considered. </w:t>
      </w:r>
    </w:p>
    <w:p w14:paraId="41F4D434" w14:textId="77777777" w:rsidR="002366E3" w:rsidRPr="00F12E63" w:rsidRDefault="002366E3">
      <w:pPr>
        <w:ind w:right="-58"/>
        <w:rPr>
          <w:sz w:val="20"/>
        </w:rPr>
      </w:pPr>
    </w:p>
    <w:p w14:paraId="687DADD3" w14:textId="77777777" w:rsidR="002366E3" w:rsidRDefault="002366E3">
      <w:r>
        <w:t>Under the General Anti-Abuse Regulation (GAAR) review published by HMRC, this trust approach is not considered to be an abuse of current tax legislation.</w:t>
      </w:r>
    </w:p>
    <w:p w14:paraId="38826DD1" w14:textId="77777777" w:rsidR="002366E3" w:rsidRPr="00F12E63" w:rsidRDefault="002366E3">
      <w:pPr>
        <w:ind w:right="-58"/>
        <w:rPr>
          <w:sz w:val="20"/>
        </w:rPr>
      </w:pPr>
    </w:p>
    <w:p w14:paraId="7EBBAF8E" w14:textId="77777777" w:rsidR="002366E3" w:rsidRDefault="002366E3">
      <w:pPr>
        <w:ind w:right="-58"/>
      </w:pPr>
      <w:r>
        <w:rPr>
          <w:b/>
          <w:bCs/>
        </w:rPr>
        <w:t xml:space="preserve">Administrative Considerations </w:t>
      </w:r>
    </w:p>
    <w:p w14:paraId="014AE97A" w14:textId="77777777" w:rsidR="002366E3" w:rsidRDefault="002366E3">
      <w:pPr>
        <w:rPr>
          <w:rFonts w:ascii="Tahoma" w:hAnsi="Tahoma" w:cs="Tahoma"/>
        </w:rPr>
      </w:pPr>
      <w:r>
        <w:t xml:space="preserve">We need to make you aware of one potential downside of trust planning, which may be relevant to your planning now or in the future. If the value of your Business Trust, after your death, exceeded the trust allowance at the time, then on every 10 year anniversary of the trust (not your death) it </w:t>
      </w:r>
      <w:r>
        <w:rPr>
          <w:b/>
          <w:bCs/>
        </w:rPr>
        <w:t>may</w:t>
      </w:r>
      <w:r>
        <w:t xml:space="preserve"> incur a tax charge (Periodic Charge) of up to 6% of the value above the trust allowance at the time. For example, if the trust fund was £50,000 above the allowance, £3,000 could be payable every 10 years by the trustees</w:t>
      </w:r>
      <w:r>
        <w:rPr>
          <w:rFonts w:ascii="Tahoma" w:hAnsi="Tahoma" w:cs="Tahoma"/>
        </w:rPr>
        <w:t xml:space="preserve">. </w:t>
      </w:r>
    </w:p>
    <w:p w14:paraId="31EBAFC8" w14:textId="77777777" w:rsidR="002366E3" w:rsidRPr="00F12E63" w:rsidRDefault="002366E3">
      <w:pPr>
        <w:rPr>
          <w:rFonts w:ascii="Tahoma" w:hAnsi="Tahoma" w:cs="Tahoma"/>
          <w:sz w:val="20"/>
        </w:rPr>
      </w:pPr>
    </w:p>
    <w:p w14:paraId="39C369EB" w14:textId="77777777" w:rsidR="002366E3" w:rsidRDefault="002366E3">
      <w:r>
        <w:t>It is important that trustees take advice on periodic charges once assets are received by the trust and make provision for the payment of ongoing charges by withholding a proportion of the trust fund if required.</w:t>
      </w:r>
    </w:p>
    <w:p w14:paraId="18C32EAF" w14:textId="77777777" w:rsidR="002366E3" w:rsidRPr="00F12E63" w:rsidRDefault="002366E3">
      <w:pPr>
        <w:ind w:right="-58"/>
        <w:rPr>
          <w:sz w:val="20"/>
        </w:rPr>
      </w:pPr>
    </w:p>
    <w:p w14:paraId="12E2A454" w14:textId="77777777" w:rsidR="002366E3" w:rsidRDefault="002366E3">
      <w:r>
        <w:t>Following your death it is essential that your Trustees receive advice from qualified professionals. Some annual administration will be required, but should be minimal and could be carried out by your Trustees.</w:t>
      </w:r>
    </w:p>
    <w:p w14:paraId="1BC6D933" w14:textId="77777777" w:rsidR="002366E3" w:rsidRPr="00F12E63" w:rsidRDefault="002366E3">
      <w:pPr>
        <w:rPr>
          <w:sz w:val="20"/>
        </w:rPr>
      </w:pPr>
    </w:p>
    <w:p w14:paraId="36873339" w14:textId="77777777" w:rsidR="002366E3" w:rsidRDefault="002366E3">
      <w:r>
        <w:t>I look forward to speaking with you again soon.</w:t>
      </w:r>
    </w:p>
    <w:p w14:paraId="7BC4E64C" w14:textId="77777777" w:rsidR="002366E3" w:rsidRPr="00F12E63" w:rsidRDefault="002366E3">
      <w:pPr>
        <w:rPr>
          <w:sz w:val="20"/>
        </w:rPr>
      </w:pPr>
    </w:p>
    <w:p w14:paraId="4BC3F495" w14:textId="77777777" w:rsidR="002366E3" w:rsidRPr="00F12E63" w:rsidRDefault="00F12E63" w:rsidP="00F12E63">
      <w:r>
        <w:t>Yours sincerely</w:t>
      </w:r>
    </w:p>
    <w:p w14:paraId="378AE573" w14:textId="77777777" w:rsidR="002366E3" w:rsidRPr="00F12E63" w:rsidRDefault="002366E3">
      <w:pPr>
        <w:keepNext/>
        <w:suppressAutoHyphens w:val="0"/>
        <w:rPr>
          <w:b/>
          <w:bCs/>
          <w:color w:val="FF0000"/>
          <w:sz w:val="20"/>
          <w:lang w:eastAsia="en-US"/>
        </w:rPr>
      </w:pPr>
    </w:p>
    <w:p w14:paraId="66914724" w14:textId="77777777" w:rsidR="002366E3" w:rsidRDefault="002366E3" w:rsidP="00F12E63">
      <w:pPr>
        <w:keepNext/>
        <w:suppressAutoHyphens w:val="0"/>
        <w:rPr>
          <w:b/>
          <w:bCs/>
          <w:lang w:eastAsia="en-US"/>
        </w:rPr>
      </w:pPr>
      <w:r>
        <w:rPr>
          <w:b/>
          <w:bCs/>
          <w:color w:val="FF0000"/>
          <w:lang w:eastAsia="en-US"/>
        </w:rPr>
        <w:t>Please sign and bring this copy of the letter as confirmation of receipt and understanding to your Implementation Meeting/ Please sign and return this copy as confirmation of receipt and understanding</w:t>
      </w:r>
    </w:p>
    <w:p w14:paraId="6E630C2A" w14:textId="77777777" w:rsidR="002366E3" w:rsidRDefault="002366E3">
      <w:pPr>
        <w:suppressAutoHyphens w:val="0"/>
        <w:ind w:right="1797"/>
        <w:jc w:val="both"/>
        <w:rPr>
          <w:b/>
          <w:bCs/>
          <w:lang w:eastAsia="en-US"/>
        </w:rPr>
      </w:pPr>
    </w:p>
    <w:p w14:paraId="68D68A29" w14:textId="77777777" w:rsidR="002366E3" w:rsidRPr="00F12E63" w:rsidRDefault="002366E3" w:rsidP="00F12E63">
      <w:pPr>
        <w:suppressAutoHyphens w:val="0"/>
        <w:ind w:right="1797"/>
        <w:jc w:val="both"/>
      </w:pPr>
      <w:r>
        <w:rPr>
          <w:b/>
          <w:bCs/>
          <w:lang w:eastAsia="en-US"/>
        </w:rPr>
        <w:t>Sign _____________________ Date ________________</w:t>
      </w:r>
    </w:p>
    <w:p w14:paraId="097F3E1C" w14:textId="77777777" w:rsidR="002366E3" w:rsidRDefault="002366E3">
      <w:pPr>
        <w:jc w:val="center"/>
        <w:rPr>
          <w:rFonts w:ascii="Tahoma" w:hAnsi="Tahoma" w:cs="Tahoma"/>
          <w:b/>
        </w:rPr>
      </w:pPr>
    </w:p>
    <w:p w14:paraId="717E6B45" w14:textId="77777777" w:rsidR="002366E3" w:rsidRPr="00F12E63" w:rsidRDefault="002366E3">
      <w:pPr>
        <w:jc w:val="center"/>
        <w:rPr>
          <w:sz w:val="22"/>
          <w:szCs w:val="22"/>
          <w:lang w:eastAsia="en-US"/>
        </w:rPr>
      </w:pPr>
      <w:r w:rsidRPr="00F12E63">
        <w:rPr>
          <w:b/>
          <w:sz w:val="22"/>
          <w:szCs w:val="22"/>
        </w:rPr>
        <w:t>Notes</w:t>
      </w:r>
    </w:p>
    <w:p w14:paraId="19E631A0" w14:textId="77777777" w:rsidR="002366E3" w:rsidRPr="00F12E63" w:rsidRDefault="002366E3">
      <w:pPr>
        <w:suppressAutoHyphens w:val="0"/>
        <w:jc w:val="both"/>
        <w:rPr>
          <w:rFonts w:ascii="Gill Sans MT" w:hAnsi="Gill Sans MT" w:cs="Gill Sans MT"/>
          <w:sz w:val="14"/>
          <w:lang w:eastAsia="en-US"/>
        </w:rPr>
      </w:pPr>
    </w:p>
    <w:p w14:paraId="2F0A8ED5" w14:textId="77777777" w:rsidR="002366E3" w:rsidRPr="00F12E63" w:rsidRDefault="002366E3" w:rsidP="00F12E63">
      <w:pPr>
        <w:pBdr>
          <w:top w:val="single" w:sz="6" w:space="1" w:color="000000"/>
          <w:left w:val="single" w:sz="6" w:space="1" w:color="000000"/>
          <w:bottom w:val="single" w:sz="6" w:space="1" w:color="000000"/>
          <w:right w:val="single" w:sz="6" w:space="1" w:color="000000"/>
        </w:pBdr>
        <w:suppressAutoHyphens w:val="0"/>
        <w:jc w:val="center"/>
        <w:rPr>
          <w:sz w:val="22"/>
          <w:szCs w:val="22"/>
          <w:lang w:eastAsia="en-US"/>
        </w:rPr>
      </w:pPr>
      <w:r w:rsidRPr="00F12E63">
        <w:rPr>
          <w:sz w:val="22"/>
          <w:szCs w:val="22"/>
          <w:lang w:eastAsia="en-US"/>
        </w:rPr>
        <w:t>The advice provided to you is based upon the information you have disclosed and therefore if this letter does not accord with your view of the situation or you require any further clarification please let me know. All statements concerning the tax treatment of trusts and their benefits are based on our understanding of the current law and HMRC practice as at the date of publication and does not form personal advice and is for general guidance only. Whilst every effort is made to ensure accuracy, no liability can be accepted for any errors or omissions. Levels and bases of, and relief from, taxation are subject to change.</w:t>
      </w:r>
    </w:p>
    <w:p w14:paraId="431654B3" w14:textId="77777777" w:rsidR="002366E3" w:rsidRPr="00F12E63" w:rsidRDefault="002366E3" w:rsidP="00F12E63">
      <w:pPr>
        <w:pBdr>
          <w:top w:val="single" w:sz="6" w:space="1" w:color="000000"/>
          <w:left w:val="single" w:sz="6" w:space="1" w:color="000000"/>
          <w:bottom w:val="single" w:sz="6" w:space="1" w:color="000000"/>
          <w:right w:val="single" w:sz="6" w:space="1" w:color="000000"/>
        </w:pBdr>
        <w:suppressAutoHyphens w:val="0"/>
        <w:jc w:val="center"/>
        <w:rPr>
          <w:lang w:eastAsia="en-US"/>
        </w:rPr>
      </w:pPr>
      <w:r w:rsidRPr="00F12E63">
        <w:rPr>
          <w:sz w:val="22"/>
          <w:szCs w:val="22"/>
          <w:lang w:eastAsia="en-US"/>
        </w:rPr>
        <w:t>Work associated with this trust, and the trust itself is not regulated by the Financial Conduct Authority.</w:t>
      </w:r>
    </w:p>
    <w:p w14:paraId="4ABC3044" w14:textId="77777777" w:rsidR="002366E3" w:rsidRDefault="002366E3">
      <w:pPr>
        <w:rPr>
          <w:rFonts w:ascii="Tahoma" w:hAnsi="Tahoma" w:cs="Tahoma"/>
        </w:rPr>
      </w:pPr>
    </w:p>
    <w:p w14:paraId="3094875B" w14:textId="77777777" w:rsidR="002366E3" w:rsidRDefault="002366E3">
      <w:pPr>
        <w:pStyle w:val="BodyText"/>
        <w:jc w:val="center"/>
      </w:pPr>
      <w:r>
        <w:t>Any information contained in this client suitability message must not be construed as giving advice, This document has been prepared using information believed by the author to be reliable and accurate, but Solidus IEP makes no warranty as to accuracy or completeness. In particular Solidus IEP does not accept responsibility for changes made to this letter or its contents. Any opinions expressed in this document are those of the author and do not necessarily reflect the opinions of the Company.</w:t>
      </w:r>
    </w:p>
    <w:sectPr w:rsidR="002366E3">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B9CF" w14:textId="77777777" w:rsidR="005F5A22" w:rsidRDefault="005F5A22">
      <w:r>
        <w:separator/>
      </w:r>
    </w:p>
  </w:endnote>
  <w:endnote w:type="continuationSeparator" w:id="0">
    <w:p w14:paraId="3F3211BE" w14:textId="77777777" w:rsidR="005F5A22" w:rsidRDefault="005F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EDF0" w14:textId="3FDCB55A" w:rsidR="002366E3" w:rsidRDefault="002366E3">
    <w:pPr>
      <w:pStyle w:val="Footer"/>
    </w:pPr>
    <w:r>
      <w:rPr>
        <w:sz w:val="16"/>
        <w:szCs w:val="16"/>
      </w:rPr>
      <w:t>Business Framework Suitability Letter V</w:t>
    </w:r>
    <w:r w:rsidR="00CA20B5">
      <w:rPr>
        <w:sz w:val="16"/>
        <w:szCs w:val="16"/>
      </w:rPr>
      <w:t>2</w:t>
    </w:r>
    <w:r w:rsidR="00434C25">
      <w:rPr>
        <w:sz w:val="16"/>
        <w:szCs w:val="16"/>
      </w:rPr>
      <w:t>3</w:t>
    </w:r>
    <w:r w:rsidR="00CA20B5">
      <w:rPr>
        <w:sz w:val="16"/>
        <w:szCs w:val="16"/>
      </w:rPr>
      <w:t>.1</w:t>
    </w:r>
  </w:p>
  <w:p w14:paraId="4706EE26" w14:textId="77777777" w:rsidR="002366E3" w:rsidRDefault="00236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6574F" w14:textId="77777777" w:rsidR="005F5A22" w:rsidRDefault="005F5A22">
      <w:r>
        <w:separator/>
      </w:r>
    </w:p>
  </w:footnote>
  <w:footnote w:type="continuationSeparator" w:id="0">
    <w:p w14:paraId="5E182D90" w14:textId="77777777" w:rsidR="005F5A22" w:rsidRDefault="005F5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EB"/>
    <w:rsid w:val="001C6323"/>
    <w:rsid w:val="00216816"/>
    <w:rsid w:val="002366E3"/>
    <w:rsid w:val="00434C25"/>
    <w:rsid w:val="005F5A22"/>
    <w:rsid w:val="006B3876"/>
    <w:rsid w:val="00B54BEB"/>
    <w:rsid w:val="00CA20B5"/>
    <w:rsid w:val="00E0150B"/>
    <w:rsid w:val="00E21E20"/>
    <w:rsid w:val="00F12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1074B5"/>
  <w15:chartTrackingRefBased/>
  <w15:docId w15:val="{D1E09526-8676-4347-9DCE-4C6FECA1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DefaultParagraphFont">
    <w:name w:val="WW-Default Paragraph Font"/>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DejaVu Sans" w:hAnsi="Arial" w:cs="DejaVu Sans"/>
      <w:sz w:val="28"/>
      <w:szCs w:val="28"/>
    </w:rPr>
  </w:style>
  <w:style w:type="paragraph" w:styleId="BodyText">
    <w:name w:val="Body Text"/>
    <w:basedOn w:val="Normal"/>
    <w:rPr>
      <w:rFonts w:ascii="Arial" w:hAnsi="Arial" w:cs="Arial"/>
      <w:color w:val="3366FF"/>
      <w:sz w:val="15"/>
      <w:szCs w:val="15"/>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E4FB145AEAD142B35620BE415FC6D2" ma:contentTypeVersion="19" ma:contentTypeDescription="Create a new document." ma:contentTypeScope="" ma:versionID="652968192521b8454c5213d187525555">
  <xsd:schema xmlns:xsd="http://www.w3.org/2001/XMLSchema" xmlns:xs="http://www.w3.org/2001/XMLSchema" xmlns:p="http://schemas.microsoft.com/office/2006/metadata/properties" xmlns:ns2="fc91d037-c9f6-4ed4-a4b6-165d0626272c" xmlns:ns3="fcf9adba-707a-4065-901f-2801ea04606b" targetNamespace="http://schemas.microsoft.com/office/2006/metadata/properties" ma:root="true" ma:fieldsID="46fd964981ace39b063b588f5ef4727a" ns2:_="" ns3:_="">
    <xsd:import namespace="fc91d037-c9f6-4ed4-a4b6-165d0626272c"/>
    <xsd:import namespace="fcf9adba-707a-4065-901f-2801ea0460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1d037-c9f6-4ed4-a4b6-165d06262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42fc49-6897-4e81-9467-3bb1a4fb6c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9adba-707a-4065-901f-2801ea04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19b1e-58c5-4aee-a907-babfbd15c3a2}" ma:internalName="TaxCatchAll" ma:showField="CatchAllData" ma:web="fcf9adba-707a-4065-901f-2801ea0460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f9adba-707a-4065-901f-2801ea04606b" xsi:nil="true"/>
    <lcf76f155ced4ddcb4097134ff3c332f xmlns="fc91d037-c9f6-4ed4-a4b6-165d062627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4FF659-2E2F-4F51-A642-7865557F4136}"/>
</file>

<file path=customXml/itemProps2.xml><?xml version="1.0" encoding="utf-8"?>
<ds:datastoreItem xmlns:ds="http://schemas.openxmlformats.org/officeDocument/2006/customXml" ds:itemID="{49923614-23CC-44B3-A112-969BE8F32007}">
  <ds:schemaRefs>
    <ds:schemaRef ds:uri="http://schemas.microsoft.com/sharepoint/v3/contenttype/forms"/>
  </ds:schemaRefs>
</ds:datastoreItem>
</file>

<file path=customXml/itemProps3.xml><?xml version="1.0" encoding="utf-8"?>
<ds:datastoreItem xmlns:ds="http://schemas.openxmlformats.org/officeDocument/2006/customXml" ds:itemID="{2A08E66C-2B62-4435-AB75-0FEFC922A598}">
  <ds:schemaRefs>
    <ds:schemaRef ds:uri="http://schemas.microsoft.com/office/2006/metadata/properties"/>
    <ds:schemaRef ds:uri="http://schemas.microsoft.com/office/infopath/2007/PartnerControls"/>
    <ds:schemaRef ds:uri="fcf9adba-707a-4065-901f-2801ea04606b"/>
    <ds:schemaRef ds:uri="fc91d037-c9f6-4ed4-a4b6-165d0626272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APT RWL</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APT RWL</dc:title>
  <dc:subject/>
  <dc:creator>David</dc:creator>
  <cp:keywords/>
  <cp:lastModifiedBy>Sara Hunt</cp:lastModifiedBy>
  <cp:revision>3</cp:revision>
  <cp:lastPrinted>2016-04-08T10:45:00Z</cp:lastPrinted>
  <dcterms:created xsi:type="dcterms:W3CDTF">2023-03-15T14:02:00Z</dcterms:created>
  <dcterms:modified xsi:type="dcterms:W3CDTF">2023-03-15T14:08:00Z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0x010100B8E4FB145AEAD142B35620BE415FC6D2</vt:lpwstr>
  </property>
</Properties>
</file>